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Year 6 History scheme of work</w:t>
      </w:r>
    </w:p>
    <w:p>
      <w:pPr>
        <w:spacing w:after="280"/>
      </w:pPr>
      <w:r>
        <w:rPr>
          <w:rFonts w:ascii="Arial" w:cs="Arial" w:eastAsia="Arial" w:hAnsi="Arial"/>
          <w:color w:val="6B8080"/>
          <w:sz w:val="22"/>
          <w:szCs w:val="22"/>
        </w:rPr>
        <w:t xml:space="preserve">KS2 · 6 units · aligned to the National Curriculum for England</w:t>
      </w:r>
    </w:p>
    <w:p>
      <w:pPr>
        <w:spacing w:after="140"/>
      </w:pPr>
      <w:r>
        <w:rPr>
          <w:rFonts w:ascii="Arial" w:cs="Arial" w:eastAsia="Arial" w:hAnsi="Arial"/>
          <w:color w:val="1C2B2B"/>
          <w:sz w:val="22"/>
          <w:szCs w:val="22"/>
        </w:rPr>
        <w:t xml:space="preserve">Year 6 history culminates the primary history curriculum with two of the most challenging and historically rich topics: World War II and the ancient Mayan civilisation of Mesoamerica. These topics are deliberately paired to offer a powerful contrast — one is relatively recent (within the living memory of some grandparents), the other ancient (flourishing between 250 and 900 AD). Both units demand the highest levels of historical thinking from Year 6 pupils.</w:t>
      </w:r>
    </w:p>
    <w:p>
      <w:pPr>
        <w:spacing w:after="140"/>
      </w:pPr>
      <w:r>
        <w:rPr>
          <w:rFonts w:ascii="Arial" w:cs="Arial" w:eastAsia="Arial" w:hAnsi="Arial"/>
          <w:color w:val="1C2B2B"/>
          <w:sz w:val="22"/>
          <w:szCs w:val="22"/>
        </w:rPr>
        <w:t xml:space="preserve">World War II is a topic of enormous sensitivity and scope. It touches on genocide, occupation, resistance, propaganda, and civilian experience in ways that require careful, thoughtful teaching. Pupils should encounter a range of perspectives and develop the ability to evaluate evidence critically. The Mayan unit, meanwhile, challenges pupils to engage with a sophisticated non-European civilisation using the full range of historical sources — from archaeological sites and pottery to codices and colonial-era accounts — and to consider how much we still do not know about the Maya.</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Knowledge of World War I as a major twentieth-century conflict (typically studied or encountered outside of NC units).</w:t>
      </w:r>
    </w:p>
    <w:p>
      <w:pPr>
        <w:pStyle w:val="ListParagraph"/>
        <w:numPr>
          <w:ilvl w:val="0"/>
          <w:numId w:val="1"/>
        </w:numPr>
        <w:spacing w:after="80"/>
      </w:pPr>
      <w:r>
        <w:rPr>
          <w:rFonts w:ascii="Arial" w:cs="Arial" w:eastAsia="Arial" w:hAnsi="Arial"/>
          <w:color w:val="1C2B2B"/>
          <w:sz w:val="22"/>
          <w:szCs w:val="22"/>
        </w:rPr>
        <w:t xml:space="preserve">Understanding of how to evaluate primary and secondary sources for reliability and bias.</w:t>
      </w:r>
    </w:p>
    <w:p>
      <w:pPr>
        <w:pStyle w:val="ListParagraph"/>
        <w:numPr>
          <w:ilvl w:val="0"/>
          <w:numId w:val="1"/>
        </w:numPr>
        <w:spacing w:after="80"/>
      </w:pPr>
      <w:r>
        <w:rPr>
          <w:rFonts w:ascii="Arial" w:cs="Arial" w:eastAsia="Arial" w:hAnsi="Arial"/>
          <w:color w:val="1C2B2B"/>
          <w:sz w:val="22"/>
          <w:szCs w:val="22"/>
        </w:rPr>
        <w:t xml:space="preserve">Experience of constructing extended historical arguments using a range of evidence.</w:t>
      </w:r>
    </w:p>
    <w:p>
      <w:pPr>
        <w:pStyle w:val="ListParagraph"/>
        <w:numPr>
          <w:ilvl w:val="0"/>
          <w:numId w:val="1"/>
        </w:numPr>
        <w:spacing w:after="80"/>
      </w:pPr>
      <w:r>
        <w:rPr>
          <w:rFonts w:ascii="Arial" w:cs="Arial" w:eastAsia="Arial" w:hAnsi="Arial"/>
          <w:color w:val="1C2B2B"/>
          <w:sz w:val="22"/>
          <w:szCs w:val="22"/>
        </w:rPr>
        <w:t xml:space="preserve">Knowledge of the Kingdom of Benin and ancient Greece as non-European civilisations.</w:t>
      </w:r>
    </w:p>
    <w:p>
      <w:pPr>
        <w:pStyle w:val="Heading2"/>
        <w:spacing w:before="280" w:after="120"/>
      </w:pPr>
      <w:r>
        <w:rPr>
          <w:rFonts w:ascii="Arial" w:cs="Arial" w:eastAsia="Arial" w:hAnsi="Arial"/>
          <w:b/>
          <w:bCs/>
          <w:color w:val="4A7C6F"/>
          <w:sz w:val="28"/>
          <w:szCs w:val="28"/>
        </w:rPr>
        <w:t xml:space="preserve">Units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rPr>
          <w:tblHeader/>
        </w:trPr>
        <w:tc>
          <w:tcPr>
            <w:tcW w:type="pct" w:w="10%"/>
            <w:shd w:fill="EBF3F1" w:color="auto" w:val="clear"/>
            <w:tcMar>
              <w:top w:type="dxa" w:w="80"/>
              <w:left w:type="dxa" w:w="100"/>
              <w:bottom w:type="dxa" w:w="80"/>
              <w:right w:type="dxa" w:w="100"/>
            </w:tcMar>
          </w:tcPr>
          <w:p>
            <w:r>
              <w:rPr>
                <w:rFonts w:ascii="Arial" w:cs="Arial" w:eastAsia="Arial" w:hAnsi="Arial"/>
                <w:b/>
                <w:bCs/>
                <w:color w:val="1C2B2B"/>
                <w:sz w:val="18"/>
                <w:szCs w:val="18"/>
              </w:rPr>
              <w:t xml:space="preserve">Term</w:t>
            </w:r>
          </w:p>
        </w:tc>
        <w:tc>
          <w:tcPr>
            <w:tcW w:type="pct" w:w="16%"/>
            <w:shd w:fill="EBF3F1" w:color="auto" w:val="clear"/>
            <w:tcMar>
              <w:top w:type="dxa" w:w="80"/>
              <w:left w:type="dxa" w:w="100"/>
              <w:bottom w:type="dxa" w:w="80"/>
              <w:right w:type="dxa" w:w="100"/>
            </w:tcMar>
          </w:tcPr>
          <w:p>
            <w:r>
              <w:rPr>
                <w:rFonts w:ascii="Arial" w:cs="Arial" w:eastAsia="Arial" w:hAnsi="Arial"/>
                <w:b/>
                <w:bCs/>
                <w:color w:val="1C2B2B"/>
                <w:sz w:val="18"/>
                <w:szCs w:val="18"/>
              </w:rPr>
              <w:t xml:space="preserve">Unit</w:t>
            </w:r>
          </w:p>
        </w:tc>
        <w:tc>
          <w:tcPr>
            <w:tcW w:type="pct" w:w="28%"/>
            <w:shd w:fill="EBF3F1" w:color="auto" w:val="clear"/>
            <w:tcMar>
              <w:top w:type="dxa" w:w="80"/>
              <w:left w:type="dxa" w:w="100"/>
              <w:bottom w:type="dxa" w:w="80"/>
              <w:right w:type="dxa" w:w="100"/>
            </w:tcMar>
          </w:tcPr>
          <w:p>
            <w:r>
              <w:rPr>
                <w:rFonts w:ascii="Arial" w:cs="Arial" w:eastAsia="Arial" w:hAnsi="Arial"/>
                <w:b/>
                <w:bCs/>
                <w:color w:val="1C2B2B"/>
                <w:sz w:val="18"/>
                <w:szCs w:val="18"/>
              </w:rPr>
              <w:t xml:space="preserve">National Curriculum objectives</w:t>
            </w:r>
          </w:p>
        </w:tc>
        <w:tc>
          <w:tcPr>
            <w:tcW w:type="pct" w:w="30%"/>
            <w:shd w:fill="EBF3F1" w:color="auto" w:val="clear"/>
            <w:tcMar>
              <w:top w:type="dxa" w:w="80"/>
              <w:left w:type="dxa" w:w="100"/>
              <w:bottom w:type="dxa" w:w="80"/>
              <w:right w:type="dxa" w:w="100"/>
            </w:tcMar>
          </w:tcPr>
          <w:p>
            <w:r>
              <w:rPr>
                <w:rFonts w:ascii="Arial" w:cs="Arial" w:eastAsia="Arial" w:hAnsi="Arial"/>
                <w:b/>
                <w:bCs/>
                <w:color w:val="1C2B2B"/>
                <w:sz w:val="18"/>
                <w:szCs w:val="18"/>
              </w:rPr>
              <w:t xml:space="preserve">Key activities</w:t>
            </w:r>
          </w:p>
        </w:tc>
        <w:tc>
          <w:tcPr>
            <w:tcW w:type="pct" w:w="16%"/>
            <w:shd w:fill="EBF3F1" w:color="auto" w:val="clear"/>
            <w:tcMar>
              <w:top w:type="dxa" w:w="80"/>
              <w:left w:type="dxa" w:w="100"/>
              <w:bottom w:type="dxa" w:w="80"/>
              <w:right w:type="dxa" w:w="100"/>
            </w:tcMar>
          </w:tcPr>
          <w:p>
            <w:r>
              <w:rPr>
                <w:rFonts w:ascii="Arial" w:cs="Arial" w:eastAsia="Arial" w:hAnsi="Arial"/>
                <w:b/>
                <w:bCs/>
                <w:color w:val="1C2B2B"/>
                <w:sz w:val="18"/>
                <w:szCs w:val="18"/>
              </w:rPr>
              <w:t xml:space="preserve">Key vocabulary</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Autumn 1</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World War II: Causes and the Home Front</w:t>
            </w:r>
          </w:p>
          <w:p>
            <w:r>
              <w:rPr>
                <w:rFonts w:ascii="Arial" w:cs="Arial" w:eastAsia="Arial" w:hAnsi="Arial"/>
                <w:b w:val="false"/>
                <w:bCs w:val="false"/>
                <w:color w:val="1C2B2B"/>
                <w:sz w:val="18"/>
                <w:szCs w:val="18"/>
              </w:rPr>
              <w:t xml:space="preserve">(Modern British History)</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Know about significant turning points in British history, including events from the twentieth century.</w:t>
            </w:r>
          </w:p>
          <w:p>
            <w:r>
              <w:rPr>
                <w:rFonts w:ascii="Arial" w:cs="Arial" w:eastAsia="Arial" w:hAnsi="Arial"/>
                <w:b w:val="false"/>
                <w:bCs w:val="false"/>
                <w:color w:val="1C2B2B"/>
                <w:sz w:val="18"/>
                <w:szCs w:val="18"/>
              </w:rPr>
              <w:t xml:space="preserve">• Understand the causes of World War II and its impact on the lives of ordinary British people.</w:t>
            </w:r>
          </w:p>
          <w:p>
            <w:r>
              <w:rPr>
                <w:rFonts w:ascii="Arial" w:cs="Arial" w:eastAsia="Arial" w:hAnsi="Arial"/>
                <w:b w:val="false"/>
                <w:bCs w:val="false"/>
                <w:color w:val="1C2B2B"/>
                <w:sz w:val="18"/>
                <w:szCs w:val="18"/>
              </w:rPr>
              <w:t xml:space="preserve">• Use oral history, photographs, and documents to investigate the experience of the Home Front.</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Study the causes of World War II, linking to the aftermath of World War I and the rise of fascism in Europe.</w:t>
            </w:r>
          </w:p>
          <w:p>
            <w:r>
              <w:rPr>
                <w:rFonts w:ascii="Arial" w:cs="Arial" w:eastAsia="Arial" w:hAnsi="Arial"/>
                <w:b w:val="false"/>
                <w:bCs w:val="false"/>
                <w:color w:val="1C2B2B"/>
                <w:sz w:val="18"/>
                <w:szCs w:val="18"/>
              </w:rPr>
              <w:t xml:space="preserve">• Examine the Blitz through contemporary photographs, diary extracts, and audio recordings of people who lived through it.</w:t>
            </w:r>
          </w:p>
          <w:p>
            <w:r>
              <w:rPr>
                <w:rFonts w:ascii="Arial" w:cs="Arial" w:eastAsia="Arial" w:hAnsi="Arial"/>
                <w:b w:val="false"/>
                <w:bCs w:val="false"/>
                <w:color w:val="1C2B2B"/>
                <w:sz w:val="18"/>
                <w:szCs w:val="18"/>
              </w:rPr>
              <w:t xml:space="preserve">• Research the experience of evacuation, reading first-hand accounts from evacuees and host families.</w:t>
            </w:r>
          </w:p>
          <w:p>
            <w:r>
              <w:rPr>
                <w:rFonts w:ascii="Arial" w:cs="Arial" w:eastAsia="Arial" w:hAnsi="Arial"/>
                <w:b w:val="false"/>
                <w:bCs w:val="false"/>
                <w:color w:val="1C2B2B"/>
                <w:sz w:val="18"/>
                <w:szCs w:val="18"/>
              </w:rPr>
              <w:t xml:space="preserve">• Design a wartime propaganda poster and explain the techniques used to influence public opinion.</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fascism, Nazi, blitz, evacuee, propaganda, rationing, Home Front, Anderson shelter, Spitfire, Churchill</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Autumn 2</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World War II: The Holocaust and Global Conflict</w:t>
            </w:r>
          </w:p>
          <w:p>
            <w:r>
              <w:rPr>
                <w:rFonts w:ascii="Arial" w:cs="Arial" w:eastAsia="Arial" w:hAnsi="Arial"/>
                <w:b w:val="false"/>
                <w:bCs w:val="false"/>
                <w:color w:val="1C2B2B"/>
                <w:sz w:val="18"/>
                <w:szCs w:val="18"/>
              </w:rPr>
              <w:t xml:space="preserve">(Modern British History)</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Know about the Holocaust and understand its causes, events, and significance.</w:t>
            </w:r>
          </w:p>
          <w:p>
            <w:r>
              <w:rPr>
                <w:rFonts w:ascii="Arial" w:cs="Arial" w:eastAsia="Arial" w:hAnsi="Arial"/>
                <w:b w:val="false"/>
                <w:bCs w:val="false"/>
                <w:color w:val="1C2B2B"/>
                <w:sz w:val="18"/>
                <w:szCs w:val="18"/>
              </w:rPr>
              <w:t xml:space="preserve">• Understand the global nature of World War II, including the role of different nations and their allies.</w:t>
            </w:r>
          </w:p>
          <w:p>
            <w:r>
              <w:rPr>
                <w:rFonts w:ascii="Arial" w:cs="Arial" w:eastAsia="Arial" w:hAnsi="Arial"/>
                <w:b w:val="false"/>
                <w:bCs w:val="false"/>
                <w:color w:val="1C2B2B"/>
                <w:sz w:val="18"/>
                <w:szCs w:val="18"/>
              </w:rPr>
              <w:t xml:space="preserve">• Evaluate the importance of memory and remembrance in relation to World War II.</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Study the Holocaust age-appropriately using survivor testimony (e.g. through the Holocaust Educational Trust resources) and discuss why it must be remembered.</w:t>
            </w:r>
          </w:p>
          <w:p>
            <w:r>
              <w:rPr>
                <w:rFonts w:ascii="Arial" w:cs="Arial" w:eastAsia="Arial" w:hAnsi="Arial"/>
                <w:b w:val="false"/>
                <w:bCs w:val="false"/>
                <w:color w:val="1C2B2B"/>
                <w:sz w:val="18"/>
                <w:szCs w:val="18"/>
              </w:rPr>
              <w:t xml:space="preserve">• Map the global extent of World War II, identifying key fronts in Europe, North Africa, and the Pacific.</w:t>
            </w:r>
          </w:p>
          <w:p>
            <w:r>
              <w:rPr>
                <w:rFonts w:ascii="Arial" w:cs="Arial" w:eastAsia="Arial" w:hAnsi="Arial"/>
                <w:b w:val="false"/>
                <w:bCs w:val="false"/>
                <w:color w:val="1C2B2B"/>
                <w:sz w:val="18"/>
                <w:szCs w:val="18"/>
              </w:rPr>
              <w:t xml:space="preserve">• Research the role of the British Empire and the Commonwealth in the war effort.</w:t>
            </w:r>
          </w:p>
          <w:p>
            <w:r>
              <w:rPr>
                <w:rFonts w:ascii="Arial" w:cs="Arial" w:eastAsia="Arial" w:hAnsi="Arial"/>
                <w:b w:val="false"/>
                <w:bCs w:val="false"/>
                <w:color w:val="1C2B2B"/>
                <w:sz w:val="18"/>
                <w:szCs w:val="18"/>
              </w:rPr>
              <w:t xml:space="preserve">• Discuss: how do we ensure the lessons of World War II are not forgotten? Examine the role of memorials, museums, and education.</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Holocaust, genocide, antisemitism, Nazi, occupied Europe, liberation, memorial, Auschwitz, testimony, Commonwealth</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Spring 1</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The Mayans: Civilisation and Society</w:t>
            </w:r>
          </w:p>
          <w:p>
            <w:r>
              <w:rPr>
                <w:rFonts w:ascii="Arial" w:cs="Arial" w:eastAsia="Arial" w:hAnsi="Arial"/>
                <w:b w:val="false"/>
                <w:bCs w:val="false"/>
                <w:color w:val="1C2B2B"/>
                <w:sz w:val="18"/>
                <w:szCs w:val="18"/>
              </w:rPr>
              <w:t xml:space="preserve">(Non-European Civilisations)</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Know about the Mayan civilisation as a non-European society that provides contrasts with British history in the same period.</w:t>
            </w:r>
          </w:p>
          <w:p>
            <w:r>
              <w:rPr>
                <w:rFonts w:ascii="Arial" w:cs="Arial" w:eastAsia="Arial" w:hAnsi="Arial"/>
                <w:b w:val="false"/>
                <w:bCs w:val="false"/>
                <w:color w:val="1C2B2B"/>
                <w:sz w:val="18"/>
                <w:szCs w:val="18"/>
              </w:rPr>
              <w:t xml:space="preserve">• Understand Mayan society, religion, and achievements.</w:t>
            </w:r>
          </w:p>
          <w:p>
            <w:r>
              <w:rPr>
                <w:rFonts w:ascii="Arial" w:cs="Arial" w:eastAsia="Arial" w:hAnsi="Arial"/>
                <w:b w:val="false"/>
                <w:bCs w:val="false"/>
                <w:color w:val="1C2B2B"/>
                <w:sz w:val="18"/>
                <w:szCs w:val="18"/>
              </w:rPr>
              <w:t xml:space="preserve">• Use a range of sources to investigate the Mayan world.</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Locate the Mayan civilisation in time and place, mapping major Mayan cities across Mexico and Central America.</w:t>
            </w:r>
          </w:p>
          <w:p>
            <w:r>
              <w:rPr>
                <w:rFonts w:ascii="Arial" w:cs="Arial" w:eastAsia="Arial" w:hAnsi="Arial"/>
                <w:b w:val="false"/>
                <w:bCs w:val="false"/>
                <w:color w:val="1C2B2B"/>
                <w:sz w:val="18"/>
                <w:szCs w:val="18"/>
              </w:rPr>
              <w:t xml:space="preserve">• Research Mayan achievements in mathematics (including the concept of zero), astronomy, and writing.</w:t>
            </w:r>
          </w:p>
          <w:p>
            <w:r>
              <w:rPr>
                <w:rFonts w:ascii="Arial" w:cs="Arial" w:eastAsia="Arial" w:hAnsi="Arial"/>
                <w:b w:val="false"/>
                <w:bCs w:val="false"/>
                <w:color w:val="1C2B2B"/>
                <w:sz w:val="18"/>
                <w:szCs w:val="18"/>
              </w:rPr>
              <w:t xml:space="preserve">• Examine Mayan art, pottery, and architecture as historical evidence of Mayan beliefs and society.</w:t>
            </w:r>
          </w:p>
          <w:p>
            <w:r>
              <w:rPr>
                <w:rFonts w:ascii="Arial" w:cs="Arial" w:eastAsia="Arial" w:hAnsi="Arial"/>
                <w:b w:val="false"/>
                <w:bCs w:val="false"/>
                <w:color w:val="1C2B2B"/>
                <w:sz w:val="18"/>
                <w:szCs w:val="18"/>
              </w:rPr>
              <w:t xml:space="preserve">• Compare Mayan civilisation (c.250-900 AD) with Anglo-Saxon Britain in the same period.</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Maya, Mesoamerica, city-state, pyramid, codex, glyph, astronomy, calendar, jade, sacrifice</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Spring 2</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The Mayans: Legacy, Collapse, and Survival</w:t>
            </w:r>
          </w:p>
          <w:p>
            <w:r>
              <w:rPr>
                <w:rFonts w:ascii="Arial" w:cs="Arial" w:eastAsia="Arial" w:hAnsi="Arial"/>
                <w:b w:val="false"/>
                <w:bCs w:val="false"/>
                <w:color w:val="1C2B2B"/>
                <w:sz w:val="18"/>
                <w:szCs w:val="18"/>
              </w:rPr>
              <w:t xml:space="preserve">(Non-European Civilisations)</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Know about the collapse of the Classic Maya civilisation and the theories that historians and archaeologists debate.</w:t>
            </w:r>
          </w:p>
          <w:p>
            <w:r>
              <w:rPr>
                <w:rFonts w:ascii="Arial" w:cs="Arial" w:eastAsia="Arial" w:hAnsi="Arial"/>
                <w:b w:val="false"/>
                <w:bCs w:val="false"/>
                <w:color w:val="1C2B2B"/>
                <w:sz w:val="18"/>
                <w:szCs w:val="18"/>
              </w:rPr>
              <w:t xml:space="preserve">• Understand the legacy of the Maya in modern Central America and Mexico.</w:t>
            </w:r>
          </w:p>
          <w:p>
            <w:r>
              <w:rPr>
                <w:rFonts w:ascii="Arial" w:cs="Arial" w:eastAsia="Arial" w:hAnsi="Arial"/>
                <w:b w:val="false"/>
                <w:bCs w:val="false"/>
                <w:color w:val="1C2B2B"/>
                <w:sz w:val="18"/>
                <w:szCs w:val="18"/>
              </w:rPr>
              <w:t xml:space="preserve">• Evaluate different historical interpretations of the Maya.</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Research the theories behind the collapse of Classic Mayan civilisation (drought, war, overpopulation, political instability) and evaluate the evidence for each.</w:t>
            </w:r>
          </w:p>
          <w:p>
            <w:r>
              <w:rPr>
                <w:rFonts w:ascii="Arial" w:cs="Arial" w:eastAsia="Arial" w:hAnsi="Arial"/>
                <w:b w:val="false"/>
                <w:bCs w:val="false"/>
                <w:color w:val="1C2B2B"/>
                <w:sz w:val="18"/>
                <w:szCs w:val="18"/>
              </w:rPr>
              <w:t xml:space="preserve">• Discuss the fact that the Maya did not disappear: millions of Maya people still live in Mexico and Guatemala today.</w:t>
            </w:r>
          </w:p>
          <w:p>
            <w:r>
              <w:rPr>
                <w:rFonts w:ascii="Arial" w:cs="Arial" w:eastAsia="Arial" w:hAnsi="Arial"/>
                <w:b w:val="false"/>
                <w:bCs w:val="false"/>
                <w:color w:val="1C2B2B"/>
                <w:sz w:val="18"/>
                <w:szCs w:val="18"/>
              </w:rPr>
              <w:t xml:space="preserve">• Study the impact of Spanish colonisation on Maya civilisation in the sixteenth century.</w:t>
            </w:r>
          </w:p>
          <w:p>
            <w:r>
              <w:rPr>
                <w:rFonts w:ascii="Arial" w:cs="Arial" w:eastAsia="Arial" w:hAnsi="Arial"/>
                <w:b w:val="false"/>
                <w:bCs w:val="false"/>
                <w:color w:val="1C2B2B"/>
                <w:sz w:val="18"/>
                <w:szCs w:val="18"/>
              </w:rPr>
              <w:t xml:space="preserve">• Debate: which theory best explains the collapse of Classic Mayan civilisation? Support the argument with evidence.</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collapse, drought, colonisation, Spanish conquest, interpretation, archaeology, indigenous, descendant</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Summer 1</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Local History Study</w:t>
            </w:r>
          </w:p>
          <w:p>
            <w:r>
              <w:rPr>
                <w:rFonts w:ascii="Arial" w:cs="Arial" w:eastAsia="Arial" w:hAnsi="Arial"/>
                <w:b w:val="false"/>
                <w:bCs w:val="false"/>
                <w:color w:val="1C2B2B"/>
                <w:sz w:val="18"/>
                <w:szCs w:val="18"/>
              </w:rPr>
              <w:t xml:space="preserve">(Local History)</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Carry out a historical study of the local area, using a range of primary and secondary sources.</w:t>
            </w:r>
          </w:p>
          <w:p>
            <w:r>
              <w:rPr>
                <w:rFonts w:ascii="Arial" w:cs="Arial" w:eastAsia="Arial" w:hAnsi="Arial"/>
                <w:b w:val="false"/>
                <w:bCs w:val="false"/>
                <w:color w:val="1C2B2B"/>
                <w:sz w:val="18"/>
                <w:szCs w:val="18"/>
              </w:rPr>
              <w:t xml:space="preserve">• Understand how to plan, conduct, and present a local history investigation.</w:t>
            </w:r>
          </w:p>
          <w:p>
            <w:r>
              <w:rPr>
                <w:rFonts w:ascii="Arial" w:cs="Arial" w:eastAsia="Arial" w:hAnsi="Arial"/>
                <w:b w:val="false"/>
                <w:bCs w:val="false"/>
                <w:color w:val="1C2B2B"/>
                <w:sz w:val="18"/>
                <w:szCs w:val="18"/>
              </w:rPr>
              <w:t xml:space="preserve">• Recognise significant changes and continuities in the local area over time.</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Select a local history focus (e.g. a local building, industry, community, or event) and plan a research enquiry.</w:t>
            </w:r>
          </w:p>
          <w:p>
            <w:r>
              <w:rPr>
                <w:rFonts w:ascii="Arial" w:cs="Arial" w:eastAsia="Arial" w:hAnsi="Arial"/>
                <w:b w:val="false"/>
                <w:bCs w:val="false"/>
                <w:color w:val="1C2B2B"/>
                <w:sz w:val="18"/>
                <w:szCs w:val="18"/>
              </w:rPr>
              <w:t xml:space="preserve">• Visit a local archive, museum, or heritage site to collect primary source evidence.</w:t>
            </w:r>
          </w:p>
          <w:p>
            <w:r>
              <w:rPr>
                <w:rFonts w:ascii="Arial" w:cs="Arial" w:eastAsia="Arial" w:hAnsi="Arial"/>
                <w:b w:val="false"/>
                <w:bCs w:val="false"/>
                <w:color w:val="1C2B2B"/>
                <w:sz w:val="18"/>
                <w:szCs w:val="18"/>
              </w:rPr>
              <w:t xml:space="preserve">• Analyse maps, census records, and oral history to build a picture of the local area across different periods.</w:t>
            </w:r>
          </w:p>
          <w:p>
            <w:r>
              <w:rPr>
                <w:rFonts w:ascii="Arial" w:cs="Arial" w:eastAsia="Arial" w:hAnsi="Arial"/>
                <w:b w:val="false"/>
                <w:bCs w:val="false"/>
                <w:color w:val="1C2B2B"/>
                <w:sz w:val="18"/>
                <w:szCs w:val="18"/>
              </w:rPr>
              <w:t xml:space="preserve">• Present local history research as a museum display, documentary, or extended written report.</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local history, census, archive, oral history, enquiry, primary source, secondary source, heritage, continuity</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Summer 2</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History of Democracy and Rights in Britain</w:t>
            </w:r>
          </w:p>
          <w:p>
            <w:r>
              <w:rPr>
                <w:rFonts w:ascii="Arial" w:cs="Arial" w:eastAsia="Arial" w:hAnsi="Arial"/>
                <w:b w:val="false"/>
                <w:bCs w:val="false"/>
                <w:color w:val="1C2B2B"/>
                <w:sz w:val="18"/>
                <w:szCs w:val="18"/>
              </w:rPr>
              <w:t xml:space="preserve">(Thematic British History)</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Know about significant turning points in British political history.</w:t>
            </w:r>
          </w:p>
          <w:p>
            <w:r>
              <w:rPr>
                <w:rFonts w:ascii="Arial" w:cs="Arial" w:eastAsia="Arial" w:hAnsi="Arial"/>
                <w:b w:val="false"/>
                <w:bCs w:val="false"/>
                <w:color w:val="1C2B2B"/>
                <w:sz w:val="18"/>
                <w:szCs w:val="18"/>
              </w:rPr>
              <w:t xml:space="preserve">• Understand the development of democracy and rights in Britain from Magna Carta to the present day.</w:t>
            </w:r>
          </w:p>
          <w:p>
            <w:r>
              <w:rPr>
                <w:rFonts w:ascii="Arial" w:cs="Arial" w:eastAsia="Arial" w:hAnsi="Arial"/>
                <w:b w:val="false"/>
                <w:bCs w:val="false"/>
                <w:color w:val="1C2B2B"/>
                <w:sz w:val="18"/>
                <w:szCs w:val="18"/>
              </w:rPr>
              <w:t xml:space="preserve">• Evaluate how ordinary people have fought for and won greater rights over time.</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Create a timeline of democratic milestones in Britain: Magna Carta (1215), Bill of Rights (1689), Great Reform Act (1832), Votes for Women (1918), Universal Suffrage (1928).</w:t>
            </w:r>
          </w:p>
          <w:p>
            <w:r>
              <w:rPr>
                <w:rFonts w:ascii="Arial" w:cs="Arial" w:eastAsia="Arial" w:hAnsi="Arial"/>
                <w:b w:val="false"/>
                <w:bCs w:val="false"/>
                <w:color w:val="1C2B2B"/>
                <w:sz w:val="18"/>
                <w:szCs w:val="18"/>
              </w:rPr>
              <w:t xml:space="preserve">• Study Magna Carta as the foundation of English law and discuss which of its principles still apply today.</w:t>
            </w:r>
          </w:p>
          <w:p>
            <w:r>
              <w:rPr>
                <w:rFonts w:ascii="Arial" w:cs="Arial" w:eastAsia="Arial" w:hAnsi="Arial"/>
                <w:b w:val="false"/>
                <w:bCs w:val="false"/>
                <w:color w:val="1C2B2B"/>
                <w:sz w:val="18"/>
                <w:szCs w:val="18"/>
              </w:rPr>
              <w:t xml:space="preserve">• Research a civil rights campaign and evaluate its methods and outcomes.</w:t>
            </w:r>
          </w:p>
          <w:p>
            <w:r>
              <w:rPr>
                <w:rFonts w:ascii="Arial" w:cs="Arial" w:eastAsia="Arial" w:hAnsi="Arial"/>
                <w:b w:val="false"/>
                <w:bCs w:val="false"/>
                <w:color w:val="1C2B2B"/>
                <w:sz w:val="18"/>
                <w:szCs w:val="18"/>
              </w:rPr>
              <w:t xml:space="preserve">• Debate: how democratic is modern Britain? What rights do citizens have that people in the past did not?</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democracy, Magna Carta, parliament, rights, suffrage, reform, civil liberties, constitution, monarchy</w:t>
            </w:r>
          </w:p>
        </w:tc>
      </w:tr>
    </w:tbl>
    <w:p>
      <w:pPr>
        <w:pStyle w:val="Heading2"/>
        <w:spacing w:before="280" w:after="120"/>
      </w:pPr>
      <w:r>
        <w:rPr>
          <w:rFonts w:ascii="Arial" w:cs="Arial" w:eastAsia="Arial" w:hAnsi="Arial"/>
          <w:b/>
          <w:bCs/>
          <w:color w:val="4A7C6F"/>
          <w:sz w:val="28"/>
          <w:szCs w:val="28"/>
        </w:rPr>
        <w:t xml:space="preserve">Progression</w:t>
      </w:r>
    </w:p>
    <w:p>
      <w:pPr>
        <w:spacing w:after="140"/>
      </w:pPr>
      <w:r>
        <w:rPr>
          <w:rFonts w:ascii="Arial" w:cs="Arial" w:eastAsia="Arial" w:hAnsi="Arial"/>
          <w:color w:val="1C2B2B"/>
          <w:sz w:val="22"/>
          <w:szCs w:val="22"/>
        </w:rPr>
        <w:t xml:space="preserve">In Year 7, pupils transition to Key Stage 3 history. They will build on their chronological understanding and source skills to study the Norman Conquest, medieval England, the Reformation, and early modern Britain, developing increasingly sophisticated historical arguments.</w:t>
      </w:r>
    </w:p>
    <w:sectPr>
      <w:footerReference w:type="default" r:id="rId6"/>
      <w:pgSz w:w="16838" w:h="11906" w:orient="landscape"/>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staffroom-ai.com/lesson-plans/history/year-6/scheme-of-work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6 History scheme of work</dc:title>
  <dc:creator>Staffroom</dc:creator>
  <dc:description>Year 6 History scheme of work. Free from https://staffroom-ai.com/lesson-plans/history/year-6/scheme-of-work</dc:description>
  <cp:lastModifiedBy>Un-named</cp:lastModifiedBy>
  <cp:revision>1</cp:revision>
  <dcterms:created xsi:type="dcterms:W3CDTF">2026-10-12T22:23:39.466Z</dcterms:created>
  <dcterms:modified xsi:type="dcterms:W3CDTF">2026-10-12T22:23:39.466Z</dcterms:modified>
</cp:coreProperties>
</file>

<file path=docProps/custom.xml><?xml version="1.0" encoding="utf-8"?>
<Properties xmlns="http://schemas.openxmlformats.org/officeDocument/2006/custom-properties" xmlns:vt="http://schemas.openxmlformats.org/officeDocument/2006/docPropsVTypes"/>
</file>